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2BD" w:rsidRDefault="00D522BD" w:rsidP="00D522B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</w:pPr>
      <w:r w:rsidRPr="00EB24D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Транспортные средства повышенной проходимости (категории G) </w:t>
      </w:r>
    </w:p>
    <w:p w:rsidR="00EB24DA" w:rsidRPr="00EB24DA" w:rsidRDefault="00EB24DA" w:rsidP="00D522B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en-US"/>
        </w:rPr>
      </w:pP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  <w:color w:val="000000"/>
        </w:rPr>
        <w:t>К транспортным средствам повышенной проходимости (категории G), могут быть отнесены транспортные средства категорий М и N, если они удовлетворяют следующим требованиям:</w:t>
      </w: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>1.</w:t>
      </w:r>
      <w:r w:rsidRPr="00EB24DA">
        <w:rPr>
          <w:rFonts w:ascii="Times New Roman" w:eastAsia="Times New Roman" w:hAnsi="Times New Roman" w:cs="Times New Roman"/>
          <w:color w:val="000000"/>
        </w:rPr>
        <w:t xml:space="preserve"> Транспортные средства категории N</w:t>
      </w:r>
      <w:r w:rsidRPr="00EB24DA"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 w:rsidRPr="00EB24DA">
        <w:rPr>
          <w:rFonts w:ascii="Times New Roman" w:eastAsia="Times New Roman" w:hAnsi="Times New Roman" w:cs="Times New Roman"/>
          <w:color w:val="000000"/>
        </w:rPr>
        <w:t>, полная масса которых не более 2 т, а также транспортные средства категории М</w:t>
      </w:r>
      <w:proofErr w:type="gramStart"/>
      <w:r w:rsidRPr="00EB24DA"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proofErr w:type="gramEnd"/>
      <w:r w:rsidRPr="00EB24DA">
        <w:rPr>
          <w:rFonts w:ascii="Times New Roman" w:eastAsia="Times New Roman" w:hAnsi="Times New Roman" w:cs="Times New Roman"/>
          <w:color w:val="000000"/>
        </w:rPr>
        <w:t xml:space="preserve"> считают транспортными средствами повышенной проходимости, если они имеют: </w:t>
      </w: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>1.</w:t>
      </w:r>
      <w:r w:rsidRPr="00EB24DA">
        <w:rPr>
          <w:rFonts w:ascii="Times New Roman" w:eastAsia="Times New Roman" w:hAnsi="Times New Roman" w:cs="Times New Roman"/>
          <w:color w:val="000000"/>
        </w:rPr>
        <w:t xml:space="preserve">1. Хотя бы одну переднюю и одну заднюю оси, конструкция которых обеспечивает их одновременный привод, включая и транспортные средства, в которых привод одной оси может отключаться; </w:t>
      </w: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>1.</w:t>
      </w:r>
      <w:r w:rsidRPr="00EB24DA">
        <w:rPr>
          <w:rFonts w:ascii="Times New Roman" w:eastAsia="Times New Roman" w:hAnsi="Times New Roman" w:cs="Times New Roman"/>
          <w:color w:val="000000"/>
        </w:rPr>
        <w:t xml:space="preserve">2. Хотя бы один механизм блокировки дифференциала или один механизм аналогичного действия, и </w:t>
      </w: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>1.</w:t>
      </w:r>
      <w:r w:rsidRPr="00EB24DA">
        <w:rPr>
          <w:rFonts w:ascii="Times New Roman" w:eastAsia="Times New Roman" w:hAnsi="Times New Roman" w:cs="Times New Roman"/>
          <w:color w:val="000000"/>
        </w:rPr>
        <w:t xml:space="preserve">3. Если они (в случае одиночного транспортного средства) могут преодолевать подъем 30%. </w:t>
      </w: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>1.</w:t>
      </w:r>
      <w:r w:rsidRPr="00EB24DA">
        <w:rPr>
          <w:rFonts w:ascii="Times New Roman" w:eastAsia="Times New Roman" w:hAnsi="Times New Roman" w:cs="Times New Roman"/>
          <w:color w:val="000000"/>
        </w:rPr>
        <w:t xml:space="preserve">4. Они также должны удовлетворять, хотя бы пяти из шести приведенных ниже требований: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  <w:color w:val="000000"/>
        </w:rPr>
        <w:t xml:space="preserve">·        Угол въезда должен быть не менее 25°;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  <w:color w:val="000000"/>
        </w:rPr>
        <w:t xml:space="preserve">·        Угол съезда должен быть не менее 20°;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  <w:color w:val="000000"/>
        </w:rPr>
        <w:t xml:space="preserve">·        Угол продольной проходимости должен быть не менее 20°;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  <w:color w:val="000000"/>
        </w:rPr>
        <w:t xml:space="preserve">·        Дорожный просвет под передней осью должен быть не менее 180 мм;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  <w:color w:val="000000"/>
        </w:rPr>
        <w:t xml:space="preserve">·        Дорожный просвет под задней осью должен быть не менее 180 мм;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  <w:color w:val="000000"/>
        </w:rPr>
        <w:t xml:space="preserve">·        Межосевой дорожный просвет должен быть не менее 200 мм. </w:t>
      </w: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>2. Транспортные средства категории N</w:t>
      </w:r>
      <w:r w:rsidRPr="00EB24DA">
        <w:rPr>
          <w:rFonts w:ascii="Times New Roman" w:eastAsia="Times New Roman" w:hAnsi="Times New Roman" w:cs="Times New Roman"/>
          <w:vertAlign w:val="subscript"/>
        </w:rPr>
        <w:t>1</w:t>
      </w:r>
      <w:r w:rsidRPr="00EB24DA">
        <w:rPr>
          <w:rFonts w:ascii="Times New Roman" w:eastAsia="Times New Roman" w:hAnsi="Times New Roman" w:cs="Times New Roman"/>
        </w:rPr>
        <w:t>, полная масса которых свыше 2 т, или транспортные средства категорий N</w:t>
      </w:r>
      <w:r w:rsidRPr="00EB24DA">
        <w:rPr>
          <w:rFonts w:ascii="Times New Roman" w:eastAsia="Times New Roman" w:hAnsi="Times New Roman" w:cs="Times New Roman"/>
          <w:vertAlign w:val="subscript"/>
        </w:rPr>
        <w:t>2</w:t>
      </w:r>
      <w:r w:rsidRPr="00EB24DA">
        <w:rPr>
          <w:rFonts w:ascii="Times New Roman" w:eastAsia="Times New Roman" w:hAnsi="Times New Roman" w:cs="Times New Roman"/>
        </w:rPr>
        <w:t>, М</w:t>
      </w:r>
      <w:proofErr w:type="gramStart"/>
      <w:r w:rsidRPr="00EB24DA">
        <w:rPr>
          <w:rFonts w:ascii="Times New Roman" w:eastAsia="Times New Roman" w:hAnsi="Times New Roman" w:cs="Times New Roman"/>
          <w:vertAlign w:val="subscript"/>
        </w:rPr>
        <w:t>2</w:t>
      </w:r>
      <w:proofErr w:type="gramEnd"/>
      <w:r w:rsidRPr="00EB24DA">
        <w:rPr>
          <w:rFonts w:ascii="Times New Roman" w:eastAsia="Times New Roman" w:hAnsi="Times New Roman" w:cs="Times New Roman"/>
        </w:rPr>
        <w:t xml:space="preserve"> или М</w:t>
      </w:r>
      <w:r w:rsidRPr="00EB24DA">
        <w:rPr>
          <w:rFonts w:ascii="Times New Roman" w:eastAsia="Times New Roman" w:hAnsi="Times New Roman" w:cs="Times New Roman"/>
          <w:vertAlign w:val="subscript"/>
        </w:rPr>
        <w:t>3</w:t>
      </w:r>
      <w:r w:rsidRPr="00EB24DA">
        <w:rPr>
          <w:rFonts w:ascii="Times New Roman" w:eastAsia="Times New Roman" w:hAnsi="Times New Roman" w:cs="Times New Roman"/>
        </w:rPr>
        <w:t>, полная масса которых не более 12 т, считают транспортными средствами повышенной проходимости, если их конструкция обеспечивает одновременный привод всех колес, включая транспортные средства, в которых привод одной оси может отключаться, либо если они удовлетворяют следующим требованиям: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 xml:space="preserve">·        По меньшей </w:t>
      </w:r>
      <w:proofErr w:type="gramStart"/>
      <w:r w:rsidRPr="00EB24DA">
        <w:rPr>
          <w:rFonts w:ascii="Times New Roman" w:eastAsia="Times New Roman" w:hAnsi="Times New Roman" w:cs="Times New Roman"/>
        </w:rPr>
        <w:t>мере</w:t>
      </w:r>
      <w:proofErr w:type="gramEnd"/>
      <w:r w:rsidRPr="00EB24DA">
        <w:rPr>
          <w:rFonts w:ascii="Times New Roman" w:eastAsia="Times New Roman" w:hAnsi="Times New Roman" w:cs="Times New Roman"/>
        </w:rPr>
        <w:t xml:space="preserve"> одна передняя и одна задняя оси имеют одновременный привод, включая и транспортные средства, в которых привод одной оси может отключаться;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 xml:space="preserve">·        Имеется, по меньшей мере, один механизм блокировки дифференциала или один механизм аналогичного действия;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 xml:space="preserve">·        Транспортные средства (в случае одиночного транспортного средства) могут преодолевать подъем 25%. </w:t>
      </w: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>3. Транспортные средства категории М</w:t>
      </w:r>
      <w:r w:rsidRPr="00EB24DA">
        <w:rPr>
          <w:rFonts w:ascii="Times New Roman" w:eastAsia="Times New Roman" w:hAnsi="Times New Roman" w:cs="Times New Roman"/>
          <w:vertAlign w:val="subscript"/>
        </w:rPr>
        <w:t>3</w:t>
      </w:r>
      <w:r w:rsidRPr="00EB24DA">
        <w:rPr>
          <w:rFonts w:ascii="Times New Roman" w:eastAsia="Times New Roman" w:hAnsi="Times New Roman" w:cs="Times New Roman"/>
        </w:rPr>
        <w:t>, максимальная масса которых свыше 12 т, и транспортные средства категории N</w:t>
      </w:r>
      <w:r w:rsidRPr="00EB24DA">
        <w:rPr>
          <w:rFonts w:ascii="Times New Roman" w:eastAsia="Times New Roman" w:hAnsi="Times New Roman" w:cs="Times New Roman"/>
          <w:vertAlign w:val="subscript"/>
        </w:rPr>
        <w:t>3</w:t>
      </w:r>
      <w:r w:rsidRPr="00EB24DA">
        <w:rPr>
          <w:rFonts w:ascii="Times New Roman" w:eastAsia="Times New Roman" w:hAnsi="Times New Roman" w:cs="Times New Roman"/>
        </w:rPr>
        <w:t xml:space="preserve"> считают транспортными средствами повышенной проходимости, если они имеют одновременный привод всех колес, включая транспортные средства, в которых привод одной оси может отключаться, либо если соблюдаются следующие требования: </w:t>
      </w: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 xml:space="preserve">3.1. По меньшей мере, половина осей имеет привод; </w:t>
      </w: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 xml:space="preserve">3.2. Имеется, по меньшей мере, один механизм блокировки дифференциала или один механизм аналогичного действия; </w:t>
      </w: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 xml:space="preserve">3.3. Транспортные средства (в случае одиночного транспортного средства) могут преодолевать подъем 25%.; </w:t>
      </w: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 xml:space="preserve">3.4. Соблюдаются, по меньшей мере, четыре из шести следующих требований: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 xml:space="preserve">·        Угол въезда должен быть не менее 25°;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 xml:space="preserve">·        Угол съезда должен быть не менее 25°;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 xml:space="preserve">·        Угол продольной проходимости должен быть не менее 25°;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 xml:space="preserve">·        Дорожный просвет под передней осью должен быть не менее 250 мм;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 xml:space="preserve">·        Межосевой дорожный просвет должен быть не менее 300 мм; </w:t>
      </w:r>
    </w:p>
    <w:p w:rsidR="00D522BD" w:rsidRPr="00EB24DA" w:rsidRDefault="00D522BD" w:rsidP="00D522B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 xml:space="preserve">·        Дорожный просвет под задней осью должен быть не менее 250 мм. </w:t>
      </w: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>4. Специальные и специализированные транспортные средства, изготовленные на базе (шасси) транспортных средств категории G, также относятся к категории G.</w:t>
      </w:r>
    </w:p>
    <w:p w:rsidR="00D522BD" w:rsidRPr="00EB24DA" w:rsidRDefault="00D522BD" w:rsidP="00D522B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24DA">
        <w:rPr>
          <w:rFonts w:ascii="Times New Roman" w:eastAsia="Times New Roman" w:hAnsi="Times New Roman" w:cs="Times New Roman"/>
        </w:rPr>
        <w:t>5. При обозначении категории транспортных средств повышенной проходимости буква G должна сочетаться с буквами M или N (например, N</w:t>
      </w:r>
      <w:r w:rsidRPr="00EB24DA">
        <w:rPr>
          <w:rFonts w:ascii="Times New Roman" w:eastAsia="Times New Roman" w:hAnsi="Times New Roman" w:cs="Times New Roman"/>
          <w:vertAlign w:val="subscript"/>
        </w:rPr>
        <w:t>1</w:t>
      </w:r>
      <w:r w:rsidRPr="00EB24DA">
        <w:rPr>
          <w:rFonts w:ascii="Times New Roman" w:eastAsia="Times New Roman" w:hAnsi="Times New Roman" w:cs="Times New Roman"/>
        </w:rPr>
        <w:t>G).</w:t>
      </w:r>
    </w:p>
    <w:p w:rsidR="0052522E" w:rsidRDefault="0052522E"/>
    <w:sectPr w:rsidR="0052522E" w:rsidSect="00EB24DA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522BD"/>
    <w:rsid w:val="00100F0E"/>
    <w:rsid w:val="0052522E"/>
    <w:rsid w:val="00D522BD"/>
    <w:rsid w:val="00EB2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F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7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5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67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5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456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40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65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71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52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4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038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24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72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67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01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64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507</Words>
  <Characters>2896</Characters>
  <Application>Microsoft Office Word</Application>
  <DocSecurity>0</DocSecurity>
  <Lines>24</Lines>
  <Paragraphs>6</Paragraphs>
  <ScaleCrop>false</ScaleCrop>
  <Company>MultiDVD Team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2012-08-09T09:23:00Z</dcterms:created>
  <dcterms:modified xsi:type="dcterms:W3CDTF">2012-08-10T10:10:00Z</dcterms:modified>
</cp:coreProperties>
</file>